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6958BA" w:rsidP="00A34273">
      <w:pPr>
        <w:rPr>
          <w:sz w:val="28"/>
          <w:szCs w:val="28"/>
        </w:rPr>
      </w:pPr>
      <w:r>
        <w:rPr>
          <w:noProof/>
          <w:sz w:val="28"/>
          <w:szCs w:val="28"/>
        </w:rPr>
        <w:drawing>
          <wp:anchor distT="0" distB="0" distL="114300" distR="114300" simplePos="0" relativeHeight="25166182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473B74">
        <w:rPr>
          <w:noProof/>
          <w:sz w:val="28"/>
          <w:szCs w:val="28"/>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1D48BC">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sidR="00611B0F">
                    <w:rPr>
                      <w:rFonts w:eastAsia="Courier New"/>
                      <w:bCs/>
                      <w:color w:val="000000"/>
                    </w:rPr>
                    <w:t>28.03.2022 № 28</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1D48BC"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sidR="00611B0F">
                    <w:rPr>
                      <w:rFonts w:eastAsia="Courier New"/>
                      <w:bCs/>
                      <w:color w:val="000000"/>
                    </w:rPr>
                    <w:t>28.03.2022</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611B0F" w:rsidP="00427AA0">
      <w:pPr>
        <w:suppressAutoHyphens/>
        <w:jc w:val="center"/>
        <w:rPr>
          <w:rFonts w:eastAsia="SimSun"/>
          <w:kern w:val="2"/>
          <w:lang w:eastAsia="hi-IN" w:bidi="hi-IN"/>
        </w:rPr>
      </w:pPr>
      <w:r>
        <w:rPr>
          <w:rFonts w:eastAsia="SimSun"/>
          <w:kern w:val="2"/>
          <w:lang w:eastAsia="hi-IN" w:bidi="hi-IN"/>
        </w:rPr>
        <w:t>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611B0F" w:rsidP="00427AA0">
      <w:pPr>
        <w:suppressAutoHyphens/>
        <w:jc w:val="center"/>
        <w:rPr>
          <w:rFonts w:eastAsia="SimSun"/>
          <w:kern w:val="2"/>
          <w:lang w:eastAsia="hi-IN" w:bidi="hi-IN"/>
        </w:rPr>
      </w:pPr>
      <w:r>
        <w:rPr>
          <w:rFonts w:eastAsia="SimSun"/>
          <w:kern w:val="2"/>
          <w:lang w:eastAsia="hi-IN" w:bidi="hi-IN"/>
        </w:rPr>
        <w:t>заочной формы обучения 2022</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w:t>
      </w:r>
      <w:r w:rsidR="00611B0F">
        <w:rPr>
          <w:rFonts w:eastAsia="SimSun"/>
          <w:kern w:val="2"/>
          <w:lang w:eastAsia="hi-IN" w:bidi="hi-IN"/>
        </w:rPr>
        <w:t>2</w:t>
      </w:r>
      <w:r w:rsidRPr="00746E4F">
        <w:rPr>
          <w:rFonts w:eastAsia="SimSun"/>
          <w:kern w:val="2"/>
          <w:lang w:eastAsia="hi-IN" w:bidi="hi-IN"/>
        </w:rPr>
        <w:t>/20</w:t>
      </w:r>
      <w:r w:rsidR="00611B0F">
        <w:rPr>
          <w:rFonts w:eastAsia="SimSun"/>
          <w:kern w:val="2"/>
          <w:lang w:eastAsia="hi-IN" w:bidi="hi-IN"/>
        </w:rPr>
        <w:t>23</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00611B0F">
        <w:t>Омск 2022</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611B0F">
        <w:rPr>
          <w:spacing w:val="-3"/>
          <w:lang w:eastAsia="en-US"/>
        </w:rPr>
        <w:t>25.03.2022</w:t>
      </w:r>
      <w:r w:rsidRPr="00746E4F">
        <w:rPr>
          <w:spacing w:val="-3"/>
          <w:lang w:eastAsia="en-US"/>
        </w:rPr>
        <w:t xml:space="preserve">г. № </w:t>
      </w:r>
      <w:r w:rsidR="00611B0F">
        <w:rPr>
          <w:spacing w:val="-3"/>
          <w:lang w:eastAsia="en-US"/>
        </w:rPr>
        <w:t>8</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A1D0A" w:rsidRPr="00DA1D0A" w:rsidRDefault="003F5B06" w:rsidP="00DA1D0A">
      <w:pPr>
        <w:ind w:firstLine="708"/>
        <w:jc w:val="both"/>
        <w:rPr>
          <w:rFonts w:eastAsia="Calibri"/>
        </w:rPr>
      </w:pPr>
      <w:r w:rsidRPr="00746E4F">
        <w:rPr>
          <w:color w:val="000000"/>
        </w:rPr>
        <w:t xml:space="preserve">- </w:t>
      </w:r>
      <w:r w:rsidR="00DA1D0A" w:rsidRPr="00DA1D0A">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rPr>
        <w:t xml:space="preserve">- </w:t>
      </w:r>
      <w:r w:rsidRPr="00DA1D0A">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D0A" w:rsidRPr="00DA1D0A" w:rsidRDefault="00DA1D0A" w:rsidP="00DA1D0A">
      <w:pPr>
        <w:widowControl w:val="0"/>
        <w:autoSpaceDE w:val="0"/>
        <w:autoSpaceDN w:val="0"/>
        <w:adjustRightInd w:val="0"/>
        <w:ind w:firstLine="709"/>
        <w:jc w:val="both"/>
        <w:rPr>
          <w:rFonts w:eastAsia="Calibri"/>
        </w:rPr>
      </w:pPr>
      <w:r w:rsidRPr="00DA1D0A">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1D0A" w:rsidRPr="00DA1D0A" w:rsidRDefault="00DA1D0A" w:rsidP="00DA1D0A">
      <w:pPr>
        <w:widowControl w:val="0"/>
        <w:autoSpaceDE w:val="0"/>
        <w:autoSpaceDN w:val="0"/>
        <w:adjustRightInd w:val="0"/>
        <w:ind w:firstLine="708"/>
        <w:jc w:val="both"/>
        <w:rPr>
          <w:rFonts w:eastAsia="Calibri"/>
        </w:rPr>
      </w:pPr>
      <w:r w:rsidRPr="00DA1D0A">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3F95" w:rsidRPr="00746E4F" w:rsidRDefault="00DA1D0A" w:rsidP="00DA1D0A">
      <w:pPr>
        <w:ind w:firstLine="709"/>
        <w:jc w:val="both"/>
        <w:rPr>
          <w:lang w:eastAsia="en-US"/>
        </w:rPr>
      </w:pPr>
      <w:r w:rsidRPr="00DA1D0A">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611B0F">
        <w:t>2022/2023</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611B0F">
        <w:rPr>
          <w:rFonts w:eastAsia="Courier New"/>
          <w:bCs/>
          <w:color w:val="000000"/>
        </w:rPr>
        <w:t>28.03.2022 № 28</w:t>
      </w:r>
      <w:r w:rsidR="001E6BAB" w:rsidRPr="00387D59">
        <w:rPr>
          <w:rFonts w:eastAsia="Courier New"/>
          <w:bCs/>
          <w:color w:val="000000"/>
        </w:rPr>
        <w:t>;</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611B0F">
        <w:t>22</w:t>
      </w:r>
      <w:r w:rsidRPr="00387D59">
        <w:t>/20</w:t>
      </w:r>
      <w:r w:rsidR="00611B0F">
        <w:t>23</w:t>
      </w:r>
      <w:r w:rsidRPr="00387D59">
        <w:t xml:space="preserve"> учебный год, </w:t>
      </w:r>
      <w:r w:rsidRPr="00387D59">
        <w:rPr>
          <w:lang w:eastAsia="en-US"/>
        </w:rPr>
        <w:t xml:space="preserve">утвержденным приказом ректора  </w:t>
      </w:r>
      <w:r w:rsidRPr="00387D59">
        <w:t xml:space="preserve">от </w:t>
      </w:r>
      <w:r w:rsidR="00611B0F">
        <w:rPr>
          <w:rFonts w:eastAsia="Courier New"/>
          <w:bCs/>
          <w:color w:val="000000"/>
        </w:rPr>
        <w:t>28.03.2022 № 28</w:t>
      </w:r>
      <w:r w:rsidR="001E6BAB" w:rsidRPr="00387D59">
        <w:rPr>
          <w:rFonts w:eastAsia="Courier New"/>
          <w:bCs/>
          <w:color w:val="000000"/>
        </w:rPr>
        <w:t>.</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1D48BC">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1D48BC">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1D48BC">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1D48BC">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2" w:history="1">
        <w:r w:rsidR="001D48BC">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4" w:history="1">
        <w:r w:rsidR="001D48BC">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1D48BC">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6" w:history="1">
        <w:r w:rsidR="001D48BC">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1D48BC">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8" w:history="1">
        <w:r w:rsidR="001D48BC">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9" w:history="1">
        <w:r w:rsidR="001D48BC">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20" w:history="1">
        <w:r w:rsidR="001D48BC">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1" w:history="1">
        <w:r w:rsidR="001D48BC">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2" w:history="1">
        <w:r w:rsidR="001D48BC">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3" w:history="1">
        <w:r w:rsidR="001D48BC">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4" w:history="1">
        <w:r w:rsidR="001D48BC">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1D48BC">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6" w:history="1">
        <w:r w:rsidR="001D48BC">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7" w:history="1">
        <w:r w:rsidR="001D48BC">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1D48BC">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1D48BC">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1D48BC">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2" w:history="1">
        <w:r w:rsidR="001D48BC">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1D48BC">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1D48BC">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1D48BC">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1D48BC"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913" w:rsidRDefault="00AC7913" w:rsidP="00A61462">
      <w:r>
        <w:separator/>
      </w:r>
    </w:p>
  </w:endnote>
  <w:endnote w:type="continuationSeparator" w:id="0">
    <w:p w:rsidR="00AC7913" w:rsidRDefault="00AC7913"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525846">
    <w:pPr>
      <w:pStyle w:val="aa"/>
      <w:jc w:val="center"/>
    </w:pPr>
    <w:r>
      <w:fldChar w:fldCharType="begin"/>
    </w:r>
    <w:r w:rsidR="005B15C8">
      <w:instrText xml:space="preserve"> PAGE   \* MERGEFORMAT </w:instrText>
    </w:r>
    <w:r>
      <w:fldChar w:fldCharType="separate"/>
    </w:r>
    <w:r w:rsidR="00DA1D0A">
      <w:rPr>
        <w:noProof/>
      </w:rPr>
      <w:t>4</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913" w:rsidRDefault="00AC7913" w:rsidP="00A61462">
      <w:r>
        <w:separator/>
      </w:r>
    </w:p>
  </w:footnote>
  <w:footnote w:type="continuationSeparator" w:id="0">
    <w:p w:rsidR="00AC7913" w:rsidRDefault="00AC7913"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1D82"/>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48BC"/>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87D59"/>
    <w:rsid w:val="00392815"/>
    <w:rsid w:val="00396F2E"/>
    <w:rsid w:val="003A22B5"/>
    <w:rsid w:val="003B3383"/>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3B74"/>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5846"/>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1B0F"/>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958BA"/>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913"/>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03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1D0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C97792F-E383-434C-879A-7C84FBFF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73B74"/>
    <w:rPr>
      <w:color w:val="605E5C"/>
      <w:shd w:val="clear" w:color="auto" w:fill="E1DFDD"/>
    </w:rPr>
  </w:style>
  <w:style w:type="character" w:styleId="af4">
    <w:name w:val="Unresolved Mention"/>
    <w:basedOn w:val="a0"/>
    <w:uiPriority w:val="99"/>
    <w:semiHidden/>
    <w:unhideWhenUsed/>
    <w:rsid w:val="0069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page/3"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11236</Words>
  <Characters>64048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75134</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12</cp:revision>
  <cp:lastPrinted>2018-12-08T06:54:00Z</cp:lastPrinted>
  <dcterms:created xsi:type="dcterms:W3CDTF">2022-02-01T08:22:00Z</dcterms:created>
  <dcterms:modified xsi:type="dcterms:W3CDTF">2022-11-13T08:43:00Z</dcterms:modified>
</cp:coreProperties>
</file>